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0" w:type="auto"/>
        <w:tblInd w:w="119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</w:tblGrid>
      <w:tr w:rsidR="00EA1F87" w:rsidTr="00EA1F87">
        <w:tc>
          <w:tcPr>
            <w:tcW w:w="16203" w:type="dxa"/>
            <w:hideMark/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Приложение к приказу финансового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района по городскому поселению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муниципального района Брянской области от 26 ноября 2024 года № 6-г</w:t>
            </w:r>
          </w:p>
        </w:tc>
      </w:tr>
    </w:tbl>
    <w:p w:rsidR="00EA1F87" w:rsidRDefault="00EA1F87" w:rsidP="00EA1F87">
      <w:pPr>
        <w:ind w:left="11907"/>
        <w:jc w:val="right"/>
        <w:rPr>
          <w:rFonts w:ascii="Times New Roman" w:hAnsi="Times New Roman" w:cs="Times New Roman"/>
          <w:sz w:val="18"/>
        </w:rPr>
      </w:pPr>
    </w:p>
    <w:p w:rsidR="00EA1F87" w:rsidRDefault="00EA1F87" w:rsidP="00EA1F87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color w:val="000000"/>
          <w:lang w:eastAsia="ru-RU" w:bidi="ru-RU"/>
        </w:rPr>
        <w:t xml:space="preserve">Перечень налоговых расходов </w:t>
      </w:r>
      <w:proofErr w:type="spellStart"/>
      <w:r>
        <w:rPr>
          <w:rFonts w:ascii="Times New Roman" w:hAnsi="Times New Roman" w:cs="Times New Roman"/>
          <w:color w:val="000000"/>
          <w:lang w:eastAsia="ru-RU" w:bidi="ru-RU"/>
        </w:rPr>
        <w:t>Карачевского</w:t>
      </w:r>
      <w:proofErr w:type="spellEnd"/>
      <w:r>
        <w:rPr>
          <w:rFonts w:ascii="Times New Roman" w:hAnsi="Times New Roman" w:cs="Times New Roman"/>
          <w:color w:val="000000"/>
          <w:lang w:eastAsia="ru-RU" w:bidi="ru-RU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color w:val="000000"/>
          <w:lang w:eastAsia="ru-RU" w:bidi="ru-RU"/>
        </w:rPr>
        <w:t>Карачевского</w:t>
      </w:r>
      <w:proofErr w:type="spellEnd"/>
      <w:r>
        <w:rPr>
          <w:rFonts w:ascii="Times New Roman" w:hAnsi="Times New Roman" w:cs="Times New Roman"/>
          <w:color w:val="000000"/>
          <w:lang w:eastAsia="ru-RU" w:bidi="ru-RU"/>
        </w:rPr>
        <w:t xml:space="preserve"> муниципального района Брянской области на 2025год</w:t>
      </w:r>
    </w:p>
    <w:p w:rsidR="00EA1F87" w:rsidRDefault="00EA1F87" w:rsidP="00EA1F87">
      <w:pPr>
        <w:ind w:left="11907"/>
        <w:jc w:val="right"/>
        <w:rPr>
          <w:rFonts w:ascii="Times New Roman" w:hAnsi="Times New Roman" w:cs="Times New Roman"/>
          <w:sz w:val="18"/>
        </w:rPr>
      </w:pPr>
    </w:p>
    <w:tbl>
      <w:tblPr>
        <w:tblStyle w:val="af3"/>
        <w:tblpPr w:leftFromText="180" w:rightFromText="180" w:vertAnchor="page" w:horzAnchor="margin" w:tblpXSpec="center" w:tblpY="2974"/>
        <w:tblW w:w="164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3"/>
        <w:gridCol w:w="1419"/>
        <w:gridCol w:w="1390"/>
        <w:gridCol w:w="1259"/>
        <w:gridCol w:w="1184"/>
        <w:gridCol w:w="1108"/>
        <w:gridCol w:w="1450"/>
        <w:gridCol w:w="1276"/>
        <w:gridCol w:w="992"/>
        <w:gridCol w:w="1134"/>
        <w:gridCol w:w="1419"/>
        <w:gridCol w:w="1985"/>
        <w:gridCol w:w="1276"/>
      </w:tblGrid>
      <w:tr w:rsidR="00EA1F87" w:rsidTr="00EA1F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Реквизиты нормативно правового акта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муниципального района Брянской области, которым предусмотрены налоговые льготы, освобож</w:t>
            </w:r>
            <w:r>
              <w:rPr>
                <w:rFonts w:ascii="Times New Roman" w:hAnsi="Times New Roman" w:cs="Times New Roman"/>
                <w:sz w:val="16"/>
              </w:rPr>
              <w:softHyphen/>
              <w:t>дение и иные преференции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Наименование налога, по которому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</w:rPr>
              <w:t>предусматрива-ются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</w:rPr>
              <w:t xml:space="preserve"> налоговые льготы, освобождения и иные преференции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ind w:right="-22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Целевая категория плательщиков налогов, для которых предусмотрены налоговые льготы, освобождение и иные преференции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Период действия налоговых льгот, освобождений и иных преференций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Целевая категория налогового расхода (стимулирующая, социальная, техническая)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Цели</w:t>
            </w:r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предоставления налоговых льгот, освобождений и иных преференций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Вид налоговых льгот, освобождений и иных пре</w:t>
            </w:r>
            <w:r>
              <w:rPr>
                <w:rFonts w:ascii="Times New Roman" w:hAnsi="Times New Roman" w:cs="Times New Roman"/>
                <w:sz w:val="16"/>
              </w:rPr>
              <w:softHyphen/>
              <w:t>ференций (пониженная налоговая ставка, освобождение от налого</w:t>
            </w:r>
            <w:r>
              <w:rPr>
                <w:rFonts w:ascii="Times New Roman" w:hAnsi="Times New Roman" w:cs="Times New Roman"/>
                <w:sz w:val="16"/>
              </w:rPr>
              <w:softHyphen/>
              <w:t>обложения, нулевая налоговая ставка)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Размер</w:t>
            </w:r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налоговой</w:t>
            </w:r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ставки в пределах,</w:t>
            </w:r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которой</w:t>
            </w:r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</w:rPr>
              <w:t>предостав-ляются</w:t>
            </w:r>
            <w:proofErr w:type="spellEnd"/>
            <w:proofErr w:type="gramEnd"/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налоговые</w:t>
            </w:r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льготы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Код вида экономической деятельности (ОКВЭД), к которому относится налоговый расход (налоговая льгота)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Наименование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муниципального района Брянской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Наименование показателя (индикатора) достижения целей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района Брянской области и (или) целей социально-экономической политике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городского поселение не относящихся к муниципальным программам в связи с предоставлением налоговых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Куратор</w:t>
            </w:r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налогового</w:t>
            </w:r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расхода</w:t>
            </w:r>
          </w:p>
        </w:tc>
      </w:tr>
      <w:tr w:rsidR="00EA1F87" w:rsidTr="00EA1F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</w:tr>
      <w:tr w:rsidR="00EA1F87" w:rsidTr="00EA1F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Совета народных депутатов от: 31.07.2015г.</w:t>
            </w:r>
          </w:p>
          <w:p w:rsidR="00EA1F87" w:rsidRDefault="00EA1F87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Земельный налог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физлица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бессрочная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социальная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социальная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Освобождение от налогообложе</w:t>
            </w:r>
            <w:r>
              <w:rPr>
                <w:rFonts w:ascii="Times New Roman" w:hAnsi="Times New Roman" w:cs="Times New Roman"/>
                <w:sz w:val="16"/>
              </w:rPr>
              <w:softHyphen/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Муниципальная программа выполнение полномочий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муниципального района Брянской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87" w:rsidRDefault="00EA1F8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Администрация</w:t>
            </w:r>
          </w:p>
          <w:p w:rsidR="00EA1F87" w:rsidRDefault="00EA1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района</w:t>
            </w:r>
          </w:p>
        </w:tc>
      </w:tr>
      <w:tr w:rsidR="00EA1F87" w:rsidTr="00EA1F87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87" w:rsidRDefault="00EA1F8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EA1F87" w:rsidRDefault="00EA1F87" w:rsidP="00EA1F87">
      <w:pPr>
        <w:jc w:val="center"/>
        <w:rPr>
          <w:rFonts w:ascii="Times New Roman" w:hAnsi="Times New Roman" w:cs="Times New Roman"/>
          <w:sz w:val="16"/>
        </w:rPr>
      </w:pPr>
    </w:p>
    <w:p w:rsidR="00CF5E71" w:rsidRDefault="00CF5E71">
      <w:bookmarkStart w:id="0" w:name="_GoBack"/>
      <w:bookmarkEnd w:id="0"/>
    </w:p>
    <w:sectPr w:rsidR="00CF5E71" w:rsidSect="00EA1F87">
      <w:pgSz w:w="16838" w:h="11906" w:orient="landscape"/>
      <w:pgMar w:top="284" w:right="253" w:bottom="284" w:left="28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87"/>
    <w:rsid w:val="00261D67"/>
    <w:rsid w:val="00CF5E71"/>
    <w:rsid w:val="00E161A5"/>
    <w:rsid w:val="00EA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87"/>
    <w:pPr>
      <w:spacing w:after="160" w:line="25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 w:line="276" w:lineRule="auto"/>
      <w:outlineLvl w:val="6"/>
    </w:pPr>
    <w:rPr>
      <w:rFonts w:asciiTheme="majorHAnsi" w:eastAsiaTheme="majorEastAsia" w:hAnsiTheme="majorHAnsi" w:cstheme="majorBidi"/>
      <w:i/>
      <w:i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 w:line="276" w:lineRule="auto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E161A5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 w:line="276" w:lineRule="auto"/>
      <w:ind w:left="360" w:right="360"/>
    </w:pPr>
    <w:rPr>
      <w:rFonts w:ascii="Times New Roman" w:hAnsi="Times New Roman"/>
      <w:i/>
      <w:iCs/>
      <w:sz w:val="28"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Times New Roman" w:hAnsi="Times New Roman"/>
      <w:b/>
      <w:bCs/>
      <w:i/>
      <w:iCs/>
      <w:sz w:val="28"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39"/>
    <w:rsid w:val="00EA1F8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87"/>
    <w:pPr>
      <w:spacing w:after="160" w:line="25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 w:line="276" w:lineRule="auto"/>
      <w:outlineLvl w:val="6"/>
    </w:pPr>
    <w:rPr>
      <w:rFonts w:asciiTheme="majorHAnsi" w:eastAsiaTheme="majorEastAsia" w:hAnsiTheme="majorHAnsi" w:cstheme="majorBidi"/>
      <w:i/>
      <w:i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 w:line="276" w:lineRule="auto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E161A5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 w:line="276" w:lineRule="auto"/>
      <w:ind w:left="360" w:right="360"/>
    </w:pPr>
    <w:rPr>
      <w:rFonts w:ascii="Times New Roman" w:hAnsi="Times New Roman"/>
      <w:i/>
      <w:iCs/>
      <w:sz w:val="28"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Times New Roman" w:hAnsi="Times New Roman"/>
      <w:b/>
      <w:bCs/>
      <w:i/>
      <w:iCs/>
      <w:sz w:val="28"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39"/>
    <w:rsid w:val="00EA1F8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7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1</cp:revision>
  <dcterms:created xsi:type="dcterms:W3CDTF">2024-11-27T14:12:00Z</dcterms:created>
  <dcterms:modified xsi:type="dcterms:W3CDTF">2024-11-27T14:14:00Z</dcterms:modified>
</cp:coreProperties>
</file>